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14" w:rsidRPr="00EB5C14" w:rsidRDefault="00EB5C14" w:rsidP="0060382B">
      <w:pPr>
        <w:shd w:val="clear" w:color="auto" w:fill="FFFFFF"/>
        <w:spacing w:before="31" w:after="31" w:line="297" w:lineRule="atLeast"/>
        <w:rPr>
          <w:rFonts w:ascii="Arial" w:eastAsia="Times New Roman" w:hAnsi="Arial" w:cs="Arial"/>
          <w:b/>
          <w:color w:val="333333"/>
          <w:sz w:val="28"/>
          <w:szCs w:val="28"/>
        </w:rPr>
      </w:pPr>
      <w:r w:rsidRPr="00EB5C14">
        <w:rPr>
          <w:rFonts w:ascii="Arial" w:eastAsia="Times New Roman" w:hAnsi="Arial" w:cs="Arial"/>
          <w:b/>
          <w:color w:val="333333"/>
          <w:sz w:val="28"/>
          <w:szCs w:val="28"/>
        </w:rPr>
        <w:t xml:space="preserve">              </w:t>
      </w:r>
      <w:r>
        <w:rPr>
          <w:rFonts w:ascii="Arial" w:eastAsia="Times New Roman" w:hAnsi="Arial" w:cs="Arial"/>
          <w:b/>
          <w:color w:val="333333"/>
          <w:sz w:val="28"/>
          <w:szCs w:val="28"/>
        </w:rPr>
        <w:t xml:space="preserve">                 </w:t>
      </w:r>
      <w:r w:rsidRPr="00EB5C14">
        <w:rPr>
          <w:rFonts w:ascii="Arial" w:eastAsia="Times New Roman" w:hAnsi="Arial" w:cs="Arial"/>
          <w:b/>
          <w:color w:val="333333"/>
          <w:sz w:val="28"/>
          <w:szCs w:val="28"/>
        </w:rPr>
        <w:t xml:space="preserve"> Транспортный налог.</w:t>
      </w:r>
    </w:p>
    <w:p w:rsidR="00EB5C14" w:rsidRDefault="00EB5C14" w:rsidP="0060382B">
      <w:pPr>
        <w:shd w:val="clear" w:color="auto" w:fill="FFFFFF"/>
        <w:spacing w:before="31" w:after="31" w:line="297" w:lineRule="atLeast"/>
        <w:rPr>
          <w:rFonts w:ascii="Arial" w:eastAsia="Times New Roman" w:hAnsi="Arial" w:cs="Arial"/>
          <w:color w:val="333333"/>
        </w:rPr>
      </w:pPr>
    </w:p>
    <w:p w:rsidR="0060382B" w:rsidRPr="0060382B" w:rsidRDefault="0060382B" w:rsidP="0060382B">
      <w:pPr>
        <w:shd w:val="clear" w:color="auto" w:fill="FFFFFF"/>
        <w:spacing w:before="31" w:after="31" w:line="297" w:lineRule="atLeast"/>
        <w:rPr>
          <w:rFonts w:ascii="Arial" w:eastAsia="Times New Roman" w:hAnsi="Arial" w:cs="Arial"/>
          <w:color w:val="333333"/>
        </w:rPr>
      </w:pPr>
      <w:r w:rsidRPr="0060382B">
        <w:rPr>
          <w:rFonts w:ascii="Arial" w:eastAsia="Times New Roman" w:hAnsi="Arial" w:cs="Arial"/>
          <w:color w:val="333333"/>
        </w:rPr>
        <w:t>Транспортный налог установлен Областным законом </w:t>
      </w:r>
      <w:hyperlink r:id="rId5" w:history="1">
        <w:r w:rsidRPr="0060382B">
          <w:rPr>
            <w:rFonts w:ascii="Arial" w:eastAsia="Times New Roman" w:hAnsi="Arial" w:cs="Arial"/>
            <w:color w:val="040465"/>
            <w:u w:val="single"/>
          </w:rPr>
          <w:t>от 10.05.2012 № 843-ЗС</w:t>
        </w:r>
      </w:hyperlink>
      <w:r w:rsidRPr="0060382B">
        <w:rPr>
          <w:rFonts w:ascii="Arial" w:eastAsia="Times New Roman" w:hAnsi="Arial" w:cs="Arial"/>
          <w:color w:val="333333"/>
        </w:rPr>
        <w:t> «О региональных налогах и некоторых вопросах налогообложения в Ростовской области» согласно главе 28 Налогового кодекса РФ и действует на территории области с 1 января 2003 года.</w:t>
      </w:r>
    </w:p>
    <w:p w:rsidR="0060382B" w:rsidRPr="0060382B" w:rsidRDefault="0060382B" w:rsidP="0060382B">
      <w:pPr>
        <w:shd w:val="clear" w:color="auto" w:fill="FFFFFF"/>
        <w:spacing w:before="31" w:after="31" w:line="297" w:lineRule="atLeast"/>
        <w:rPr>
          <w:rFonts w:ascii="Arial" w:eastAsia="Times New Roman" w:hAnsi="Arial" w:cs="Arial"/>
          <w:color w:val="333333"/>
        </w:rPr>
      </w:pPr>
      <w:r w:rsidRPr="0060382B">
        <w:rPr>
          <w:rFonts w:ascii="Arial" w:eastAsia="Times New Roman" w:hAnsi="Arial" w:cs="Arial"/>
          <w:color w:val="333333"/>
        </w:rPr>
        <w:t>Налогом облагаются все транспортные средства, включая автомобили, мотоциклы, самолеты, яхты, моторные лодки, баржи и т.д.</w:t>
      </w:r>
    </w:p>
    <w:p w:rsidR="0060382B" w:rsidRPr="0060382B" w:rsidRDefault="0060382B" w:rsidP="0060382B">
      <w:pPr>
        <w:shd w:val="clear" w:color="auto" w:fill="FFFFFF"/>
        <w:spacing w:before="31" w:after="31" w:line="297" w:lineRule="atLeast"/>
        <w:rPr>
          <w:rFonts w:ascii="Arial" w:eastAsia="Times New Roman" w:hAnsi="Arial" w:cs="Arial"/>
          <w:color w:val="333333"/>
        </w:rPr>
      </w:pPr>
      <w:r w:rsidRPr="0060382B">
        <w:rPr>
          <w:rFonts w:ascii="Arial" w:eastAsia="Times New Roman" w:hAnsi="Arial" w:cs="Arial"/>
          <w:color w:val="333333"/>
        </w:rPr>
        <w:t>Налоговой базой в зависимости от типа транспортного средства являются единицы мощности двигателя, силы тяги (для реактивных самолетов) или вместимости (для несамоходных судов).</w:t>
      </w:r>
    </w:p>
    <w:p w:rsidR="0060382B" w:rsidRPr="0060382B" w:rsidRDefault="0060382B" w:rsidP="0060382B">
      <w:pPr>
        <w:shd w:val="clear" w:color="auto" w:fill="FFFFFF"/>
        <w:spacing w:before="31" w:after="31" w:line="297" w:lineRule="atLeast"/>
        <w:rPr>
          <w:rFonts w:ascii="Arial" w:eastAsia="Times New Roman" w:hAnsi="Arial" w:cs="Arial"/>
          <w:color w:val="333333"/>
        </w:rPr>
      </w:pPr>
      <w:r w:rsidRPr="0060382B">
        <w:rPr>
          <w:rFonts w:ascii="Arial" w:eastAsia="Times New Roman" w:hAnsi="Arial" w:cs="Arial"/>
          <w:color w:val="333333"/>
        </w:rPr>
        <w:t>Предусмотрены дополнительные льготы для инвалидов, Героев СССР и Героев Российской Федерации, Героев Социалистического Труда, граждан, являющихся полными кавалерами ордена Славы, общественных объединений указанных категорий граждан, участников ликвидации последствий аварии на Чернобыльской АЭС, ветераны Великой Отечественной войны, имеющие на праве собственности легковые автомобили с мощностью двигателя до 150 лошадиных сил (до 110,33 кВт) включительно, граждане, которым предоставлено в собственность автотранспортное средство (микроавтобус) в соответствии со статьей Областного закона </w:t>
      </w:r>
      <w:hyperlink r:id="rId6" w:history="1">
        <w:r w:rsidRPr="0060382B">
          <w:rPr>
            <w:rFonts w:ascii="Arial" w:eastAsia="Times New Roman" w:hAnsi="Arial" w:cs="Arial"/>
            <w:color w:val="040465"/>
            <w:u w:val="single"/>
          </w:rPr>
          <w:t>от 22 октября 2004 года № 165-ЗС</w:t>
        </w:r>
      </w:hyperlink>
      <w:r w:rsidRPr="0060382B">
        <w:rPr>
          <w:rFonts w:ascii="Arial" w:eastAsia="Times New Roman" w:hAnsi="Arial" w:cs="Arial"/>
          <w:color w:val="333333"/>
        </w:rPr>
        <w:t> «О социальной поддержке детства в Ростовской области».</w:t>
      </w:r>
    </w:p>
    <w:p w:rsidR="0060382B" w:rsidRPr="0060382B" w:rsidRDefault="0060382B" w:rsidP="0060382B">
      <w:pPr>
        <w:shd w:val="clear" w:color="auto" w:fill="FFFFFF"/>
        <w:spacing w:before="31" w:after="31" w:line="297" w:lineRule="atLeast"/>
        <w:rPr>
          <w:rFonts w:ascii="Arial" w:eastAsia="Times New Roman" w:hAnsi="Arial" w:cs="Arial"/>
          <w:color w:val="333333"/>
        </w:rPr>
      </w:pPr>
      <w:r w:rsidRPr="0060382B">
        <w:rPr>
          <w:rFonts w:ascii="Arial" w:eastAsia="Times New Roman" w:hAnsi="Arial" w:cs="Arial"/>
          <w:color w:val="333333"/>
        </w:rPr>
        <w:t>Уплата транспортного налога и авансовых платежей производится налогоплательщиками в бюджет по месту нахождения транспортных средств.</w:t>
      </w:r>
    </w:p>
    <w:p w:rsidR="0060382B" w:rsidRPr="0060382B" w:rsidRDefault="0060382B" w:rsidP="0060382B">
      <w:pPr>
        <w:shd w:val="clear" w:color="auto" w:fill="FFFFFF"/>
        <w:spacing w:before="31" w:after="31" w:line="297" w:lineRule="atLeast"/>
        <w:rPr>
          <w:rFonts w:ascii="Arial" w:eastAsia="Times New Roman" w:hAnsi="Arial" w:cs="Arial"/>
          <w:color w:val="333333"/>
        </w:rPr>
      </w:pPr>
      <w:r w:rsidRPr="0060382B">
        <w:rPr>
          <w:rFonts w:ascii="Arial" w:eastAsia="Times New Roman" w:hAnsi="Arial" w:cs="Arial"/>
          <w:color w:val="333333"/>
        </w:rPr>
        <w:t>Порядок уплаты налога для физических лиц и организаций разнится:</w:t>
      </w:r>
    </w:p>
    <w:p w:rsidR="0060382B" w:rsidRPr="0060382B" w:rsidRDefault="0060382B" w:rsidP="0060382B">
      <w:pPr>
        <w:numPr>
          <w:ilvl w:val="0"/>
          <w:numId w:val="1"/>
        </w:numPr>
        <w:shd w:val="clear" w:color="auto" w:fill="FFFFFF"/>
        <w:spacing w:after="0" w:line="297" w:lineRule="atLeast"/>
        <w:ind w:left="626"/>
        <w:rPr>
          <w:rFonts w:ascii="Arial" w:eastAsia="Times New Roman" w:hAnsi="Arial" w:cs="Arial"/>
          <w:color w:val="5C5B5B"/>
        </w:rPr>
      </w:pPr>
      <w:r w:rsidRPr="0060382B">
        <w:rPr>
          <w:rFonts w:ascii="Arial" w:eastAsia="Times New Roman" w:hAnsi="Arial" w:cs="Arial"/>
          <w:color w:val="5C5B5B"/>
        </w:rPr>
        <w:t>организации исчисляют и уплачивают налог самостоятельно, ежеквартальными авансовыми платежами с перерасчетом по итогам года;</w:t>
      </w:r>
    </w:p>
    <w:p w:rsidR="0060382B" w:rsidRPr="0060382B" w:rsidRDefault="0060382B" w:rsidP="0060382B">
      <w:pPr>
        <w:numPr>
          <w:ilvl w:val="0"/>
          <w:numId w:val="1"/>
        </w:numPr>
        <w:shd w:val="clear" w:color="auto" w:fill="FFFFFF"/>
        <w:spacing w:after="0" w:line="297" w:lineRule="atLeast"/>
        <w:ind w:left="626"/>
        <w:rPr>
          <w:rFonts w:ascii="Arial" w:eastAsia="Times New Roman" w:hAnsi="Arial" w:cs="Arial"/>
          <w:color w:val="5C5B5B"/>
        </w:rPr>
      </w:pPr>
      <w:r w:rsidRPr="0060382B">
        <w:rPr>
          <w:rFonts w:ascii="Arial" w:eastAsia="Times New Roman" w:hAnsi="Arial" w:cs="Arial"/>
          <w:color w:val="5C5B5B"/>
        </w:rPr>
        <w:t>физические лица уплачивают налог на основании уведомления налоговых органов не позднее 1 ноября года, следующего за истекшим налоговым периодом.</w:t>
      </w:r>
    </w:p>
    <w:p w:rsidR="0060382B" w:rsidRPr="0060382B" w:rsidRDefault="0060382B" w:rsidP="0060382B">
      <w:pPr>
        <w:shd w:val="clear" w:color="auto" w:fill="FFFFFF"/>
        <w:spacing w:before="31" w:after="31" w:line="297" w:lineRule="atLeast"/>
        <w:rPr>
          <w:rFonts w:ascii="Arial" w:eastAsia="Times New Roman" w:hAnsi="Arial" w:cs="Arial"/>
          <w:color w:val="333333"/>
        </w:rPr>
      </w:pPr>
      <w:r w:rsidRPr="0060382B">
        <w:rPr>
          <w:rFonts w:ascii="Arial" w:eastAsia="Times New Roman" w:hAnsi="Arial" w:cs="Arial"/>
          <w:color w:val="333333"/>
        </w:rPr>
        <w:t>С 1 января 2014 года при исчислении транспортного налога в отношении отдельных категорий легковых автомобилей применяется повышающий коэффициент (п.2 ст. 362 НК РФ):</w:t>
      </w:r>
    </w:p>
    <w:tbl>
      <w:tblPr>
        <w:tblW w:w="10487" w:type="dxa"/>
        <w:shd w:val="clear" w:color="auto" w:fill="FFFFFF"/>
        <w:tblCellMar>
          <w:left w:w="0" w:type="dxa"/>
          <w:right w:w="0" w:type="dxa"/>
        </w:tblCellMar>
        <w:tblLook w:val="04A0"/>
      </w:tblPr>
      <w:tblGrid>
        <w:gridCol w:w="2403"/>
        <w:gridCol w:w="2059"/>
        <w:gridCol w:w="2059"/>
        <w:gridCol w:w="2059"/>
        <w:gridCol w:w="1907"/>
      </w:tblGrid>
      <w:tr w:rsidR="0060382B" w:rsidRPr="0060382B" w:rsidTr="0060382B">
        <w:tc>
          <w:tcPr>
            <w:tcW w:w="2363" w:type="dxa"/>
            <w:vMerge w:val="restart"/>
            <w:tcBorders>
              <w:bottom w:val="single" w:sz="6" w:space="0" w:color="D9DEE5"/>
            </w:tcBorders>
            <w:shd w:val="clear" w:color="auto" w:fill="E6E9EE"/>
            <w:tcMar>
              <w:top w:w="157" w:type="dxa"/>
              <w:left w:w="31" w:type="dxa"/>
              <w:bottom w:w="157" w:type="dxa"/>
              <w:right w:w="0" w:type="dxa"/>
            </w:tcMar>
            <w:hideMark/>
          </w:tcPr>
          <w:p w:rsidR="0060382B" w:rsidRPr="0060382B" w:rsidRDefault="0060382B" w:rsidP="0060382B">
            <w:pPr>
              <w:spacing w:before="31" w:after="31" w:line="297" w:lineRule="atLeast"/>
              <w:rPr>
                <w:rFonts w:ascii="Arial" w:eastAsia="Times New Roman" w:hAnsi="Arial" w:cs="Arial"/>
                <w:b/>
                <w:bCs/>
                <w:color w:val="333333"/>
                <w:sz w:val="19"/>
                <w:szCs w:val="19"/>
              </w:rPr>
            </w:pPr>
            <w:r w:rsidRPr="0060382B">
              <w:rPr>
                <w:rFonts w:ascii="Arial" w:eastAsia="Times New Roman" w:hAnsi="Arial" w:cs="Arial"/>
                <w:b/>
                <w:bCs/>
                <w:color w:val="333333"/>
                <w:sz w:val="19"/>
                <w:szCs w:val="19"/>
              </w:rPr>
              <w:t>Возраст автомобиля</w:t>
            </w:r>
          </w:p>
        </w:tc>
        <w:tc>
          <w:tcPr>
            <w:tcW w:w="7935" w:type="dxa"/>
            <w:gridSpan w:val="4"/>
            <w:tcBorders>
              <w:bottom w:val="single" w:sz="6" w:space="0" w:color="D9DEE5"/>
            </w:tcBorders>
            <w:shd w:val="clear" w:color="auto" w:fill="E6E9EE"/>
            <w:tcMar>
              <w:top w:w="157" w:type="dxa"/>
              <w:left w:w="31" w:type="dxa"/>
              <w:bottom w:w="157" w:type="dxa"/>
              <w:right w:w="0" w:type="dxa"/>
            </w:tcMar>
            <w:hideMark/>
          </w:tcPr>
          <w:p w:rsidR="0060382B" w:rsidRPr="0060382B" w:rsidRDefault="0060382B" w:rsidP="0060382B">
            <w:pPr>
              <w:spacing w:before="31" w:after="31" w:line="297" w:lineRule="atLeast"/>
              <w:jc w:val="center"/>
              <w:rPr>
                <w:rFonts w:ascii="Arial" w:eastAsia="Times New Roman" w:hAnsi="Arial" w:cs="Arial"/>
                <w:b/>
                <w:bCs/>
                <w:color w:val="333333"/>
                <w:sz w:val="19"/>
                <w:szCs w:val="19"/>
              </w:rPr>
            </w:pPr>
            <w:r w:rsidRPr="0060382B">
              <w:rPr>
                <w:rFonts w:ascii="Arial" w:eastAsia="Times New Roman" w:hAnsi="Arial" w:cs="Arial"/>
                <w:b/>
                <w:bCs/>
                <w:color w:val="333333"/>
                <w:sz w:val="19"/>
                <w:szCs w:val="19"/>
              </w:rPr>
              <w:t>Стоимость, млн рублей</w:t>
            </w:r>
          </w:p>
        </w:tc>
      </w:tr>
      <w:tr w:rsidR="0060382B" w:rsidRPr="0060382B" w:rsidTr="0060382B">
        <w:tc>
          <w:tcPr>
            <w:tcW w:w="0" w:type="auto"/>
            <w:vMerge/>
            <w:tcBorders>
              <w:bottom w:val="single" w:sz="6" w:space="0" w:color="D9DEE5"/>
            </w:tcBorders>
            <w:shd w:val="clear" w:color="auto" w:fill="E6E9EE"/>
            <w:vAlign w:val="center"/>
            <w:hideMark/>
          </w:tcPr>
          <w:p w:rsidR="0060382B" w:rsidRPr="0060382B" w:rsidRDefault="0060382B" w:rsidP="0060382B">
            <w:pPr>
              <w:spacing w:after="0" w:line="240" w:lineRule="auto"/>
              <w:rPr>
                <w:rFonts w:ascii="Arial" w:eastAsia="Times New Roman" w:hAnsi="Arial" w:cs="Arial"/>
                <w:b/>
                <w:bCs/>
                <w:color w:val="333333"/>
                <w:sz w:val="19"/>
                <w:szCs w:val="19"/>
              </w:rPr>
            </w:pPr>
          </w:p>
        </w:tc>
        <w:tc>
          <w:tcPr>
            <w:tcW w:w="2025" w:type="dxa"/>
            <w:tcBorders>
              <w:bottom w:val="single" w:sz="6" w:space="0" w:color="D9DEE5"/>
            </w:tcBorders>
            <w:shd w:val="clear" w:color="auto" w:fill="E6E9EE"/>
            <w:tcMar>
              <w:top w:w="157" w:type="dxa"/>
              <w:left w:w="31" w:type="dxa"/>
              <w:bottom w:w="157" w:type="dxa"/>
              <w:right w:w="0" w:type="dxa"/>
            </w:tcMar>
            <w:hideMark/>
          </w:tcPr>
          <w:p w:rsidR="0060382B" w:rsidRPr="0060382B" w:rsidRDefault="0060382B" w:rsidP="0060382B">
            <w:pPr>
              <w:spacing w:before="31" w:after="31" w:line="297" w:lineRule="atLeast"/>
              <w:jc w:val="center"/>
              <w:rPr>
                <w:rFonts w:ascii="Arial" w:eastAsia="Times New Roman" w:hAnsi="Arial" w:cs="Arial"/>
                <w:b/>
                <w:bCs/>
                <w:color w:val="333333"/>
                <w:sz w:val="19"/>
                <w:szCs w:val="19"/>
              </w:rPr>
            </w:pPr>
            <w:r w:rsidRPr="0060382B">
              <w:rPr>
                <w:rFonts w:ascii="Arial" w:eastAsia="Times New Roman" w:hAnsi="Arial" w:cs="Arial"/>
                <w:b/>
                <w:bCs/>
                <w:color w:val="333333"/>
                <w:sz w:val="19"/>
                <w:szCs w:val="19"/>
              </w:rPr>
              <w:t>от 3 до 5 вкл.</w:t>
            </w:r>
          </w:p>
        </w:tc>
        <w:tc>
          <w:tcPr>
            <w:tcW w:w="2025" w:type="dxa"/>
            <w:tcBorders>
              <w:bottom w:val="single" w:sz="6" w:space="0" w:color="D9DEE5"/>
            </w:tcBorders>
            <w:shd w:val="clear" w:color="auto" w:fill="E6E9EE"/>
            <w:tcMar>
              <w:top w:w="157" w:type="dxa"/>
              <w:left w:w="31" w:type="dxa"/>
              <w:bottom w:w="157" w:type="dxa"/>
              <w:right w:w="0" w:type="dxa"/>
            </w:tcMar>
            <w:hideMark/>
          </w:tcPr>
          <w:p w:rsidR="0060382B" w:rsidRPr="0060382B" w:rsidRDefault="0060382B" w:rsidP="0060382B">
            <w:pPr>
              <w:spacing w:before="31" w:after="31" w:line="297" w:lineRule="atLeast"/>
              <w:jc w:val="center"/>
              <w:rPr>
                <w:rFonts w:ascii="Arial" w:eastAsia="Times New Roman" w:hAnsi="Arial" w:cs="Arial"/>
                <w:b/>
                <w:bCs/>
                <w:color w:val="333333"/>
                <w:sz w:val="19"/>
                <w:szCs w:val="19"/>
              </w:rPr>
            </w:pPr>
            <w:r w:rsidRPr="0060382B">
              <w:rPr>
                <w:rFonts w:ascii="Arial" w:eastAsia="Times New Roman" w:hAnsi="Arial" w:cs="Arial"/>
                <w:b/>
                <w:bCs/>
                <w:color w:val="333333"/>
                <w:sz w:val="19"/>
                <w:szCs w:val="19"/>
              </w:rPr>
              <w:t>от 5 до 10 вкл.</w:t>
            </w:r>
          </w:p>
        </w:tc>
        <w:tc>
          <w:tcPr>
            <w:tcW w:w="2025" w:type="dxa"/>
            <w:tcBorders>
              <w:bottom w:val="single" w:sz="6" w:space="0" w:color="D9DEE5"/>
            </w:tcBorders>
            <w:shd w:val="clear" w:color="auto" w:fill="E6E9EE"/>
            <w:tcMar>
              <w:top w:w="157" w:type="dxa"/>
              <w:left w:w="31" w:type="dxa"/>
              <w:bottom w:w="157" w:type="dxa"/>
              <w:right w:w="0" w:type="dxa"/>
            </w:tcMar>
            <w:hideMark/>
          </w:tcPr>
          <w:p w:rsidR="0060382B" w:rsidRPr="0060382B" w:rsidRDefault="0060382B" w:rsidP="0060382B">
            <w:pPr>
              <w:spacing w:before="31" w:after="31" w:line="297" w:lineRule="atLeast"/>
              <w:jc w:val="center"/>
              <w:rPr>
                <w:rFonts w:ascii="Arial" w:eastAsia="Times New Roman" w:hAnsi="Arial" w:cs="Arial"/>
                <w:b/>
                <w:bCs/>
                <w:color w:val="333333"/>
                <w:sz w:val="19"/>
                <w:szCs w:val="19"/>
              </w:rPr>
            </w:pPr>
            <w:r w:rsidRPr="0060382B">
              <w:rPr>
                <w:rFonts w:ascii="Arial" w:eastAsia="Times New Roman" w:hAnsi="Arial" w:cs="Arial"/>
                <w:b/>
                <w:bCs/>
                <w:color w:val="333333"/>
                <w:sz w:val="19"/>
                <w:szCs w:val="19"/>
              </w:rPr>
              <w:t>от 10 до 15 вкл.</w:t>
            </w:r>
          </w:p>
        </w:tc>
        <w:tc>
          <w:tcPr>
            <w:tcW w:w="1875" w:type="dxa"/>
            <w:tcBorders>
              <w:bottom w:val="single" w:sz="6" w:space="0" w:color="D9DEE5"/>
            </w:tcBorders>
            <w:shd w:val="clear" w:color="auto" w:fill="E6E9EE"/>
            <w:tcMar>
              <w:top w:w="157" w:type="dxa"/>
              <w:left w:w="31" w:type="dxa"/>
              <w:bottom w:w="157" w:type="dxa"/>
              <w:right w:w="0" w:type="dxa"/>
            </w:tcMar>
            <w:hideMark/>
          </w:tcPr>
          <w:p w:rsidR="0060382B" w:rsidRPr="0060382B" w:rsidRDefault="0060382B" w:rsidP="0060382B">
            <w:pPr>
              <w:spacing w:before="31" w:after="31" w:line="297" w:lineRule="atLeast"/>
              <w:jc w:val="center"/>
              <w:rPr>
                <w:rFonts w:ascii="Arial" w:eastAsia="Times New Roman" w:hAnsi="Arial" w:cs="Arial"/>
                <w:b/>
                <w:bCs/>
                <w:color w:val="333333"/>
                <w:sz w:val="19"/>
                <w:szCs w:val="19"/>
              </w:rPr>
            </w:pPr>
            <w:r w:rsidRPr="0060382B">
              <w:rPr>
                <w:rFonts w:ascii="Arial" w:eastAsia="Times New Roman" w:hAnsi="Arial" w:cs="Arial"/>
                <w:b/>
                <w:bCs/>
                <w:color w:val="333333"/>
                <w:sz w:val="19"/>
                <w:szCs w:val="19"/>
              </w:rPr>
              <w:t>св. 15 вкл.</w:t>
            </w:r>
          </w:p>
        </w:tc>
      </w:tr>
      <w:tr w:rsidR="0060382B" w:rsidRPr="0060382B" w:rsidTr="0060382B">
        <w:tc>
          <w:tcPr>
            <w:tcW w:w="226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before="31" w:after="31" w:line="297" w:lineRule="atLeast"/>
              <w:rPr>
                <w:rFonts w:ascii="Arial" w:eastAsia="Times New Roman" w:hAnsi="Arial" w:cs="Arial"/>
                <w:color w:val="333333"/>
                <w:sz w:val="19"/>
                <w:szCs w:val="19"/>
              </w:rPr>
            </w:pPr>
            <w:r w:rsidRPr="0060382B">
              <w:rPr>
                <w:rFonts w:ascii="Arial" w:eastAsia="Times New Roman" w:hAnsi="Arial" w:cs="Arial"/>
                <w:color w:val="333333"/>
                <w:sz w:val="19"/>
                <w:szCs w:val="19"/>
              </w:rPr>
              <w:t>не более года</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before="31" w:after="31" w:line="297" w:lineRule="atLeast"/>
              <w:jc w:val="center"/>
              <w:rPr>
                <w:rFonts w:ascii="Arial" w:eastAsia="Times New Roman" w:hAnsi="Arial" w:cs="Arial"/>
                <w:color w:val="333333"/>
                <w:sz w:val="19"/>
                <w:szCs w:val="19"/>
              </w:rPr>
            </w:pPr>
            <w:r w:rsidRPr="0060382B">
              <w:rPr>
                <w:rFonts w:ascii="Arial" w:eastAsia="Times New Roman" w:hAnsi="Arial" w:cs="Arial"/>
                <w:color w:val="333333"/>
                <w:sz w:val="19"/>
                <w:szCs w:val="19"/>
              </w:rPr>
              <w:t>1,5</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187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r>
      <w:tr w:rsidR="0060382B" w:rsidRPr="0060382B" w:rsidTr="0060382B">
        <w:tc>
          <w:tcPr>
            <w:tcW w:w="226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before="31" w:after="31" w:line="297" w:lineRule="atLeast"/>
              <w:rPr>
                <w:rFonts w:ascii="Arial" w:eastAsia="Times New Roman" w:hAnsi="Arial" w:cs="Arial"/>
                <w:color w:val="333333"/>
                <w:sz w:val="19"/>
                <w:szCs w:val="19"/>
              </w:rPr>
            </w:pPr>
            <w:r w:rsidRPr="0060382B">
              <w:rPr>
                <w:rFonts w:ascii="Arial" w:eastAsia="Times New Roman" w:hAnsi="Arial" w:cs="Arial"/>
                <w:color w:val="333333"/>
                <w:sz w:val="19"/>
                <w:szCs w:val="19"/>
              </w:rPr>
              <w:t>от 1 до 2 лет</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before="31" w:after="31" w:line="297" w:lineRule="atLeast"/>
              <w:jc w:val="center"/>
              <w:rPr>
                <w:rFonts w:ascii="Arial" w:eastAsia="Times New Roman" w:hAnsi="Arial" w:cs="Arial"/>
                <w:color w:val="333333"/>
                <w:sz w:val="19"/>
                <w:szCs w:val="19"/>
              </w:rPr>
            </w:pPr>
            <w:r w:rsidRPr="0060382B">
              <w:rPr>
                <w:rFonts w:ascii="Arial" w:eastAsia="Times New Roman" w:hAnsi="Arial" w:cs="Arial"/>
                <w:color w:val="333333"/>
                <w:sz w:val="19"/>
                <w:szCs w:val="19"/>
              </w:rPr>
              <w:t>1,3</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187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r>
      <w:tr w:rsidR="0060382B" w:rsidRPr="0060382B" w:rsidTr="0060382B">
        <w:tc>
          <w:tcPr>
            <w:tcW w:w="226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before="31" w:after="31" w:line="297" w:lineRule="atLeast"/>
              <w:rPr>
                <w:rFonts w:ascii="Arial" w:eastAsia="Times New Roman" w:hAnsi="Arial" w:cs="Arial"/>
                <w:color w:val="333333"/>
                <w:sz w:val="19"/>
                <w:szCs w:val="19"/>
              </w:rPr>
            </w:pPr>
            <w:r w:rsidRPr="0060382B">
              <w:rPr>
                <w:rFonts w:ascii="Arial" w:eastAsia="Times New Roman" w:hAnsi="Arial" w:cs="Arial"/>
                <w:color w:val="333333"/>
                <w:sz w:val="19"/>
                <w:szCs w:val="19"/>
              </w:rPr>
              <w:t>от 2 до 3 лет</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before="31" w:after="31" w:line="297" w:lineRule="atLeast"/>
              <w:jc w:val="center"/>
              <w:rPr>
                <w:rFonts w:ascii="Arial" w:eastAsia="Times New Roman" w:hAnsi="Arial" w:cs="Arial"/>
                <w:color w:val="333333"/>
                <w:sz w:val="19"/>
                <w:szCs w:val="19"/>
              </w:rPr>
            </w:pPr>
            <w:r w:rsidRPr="0060382B">
              <w:rPr>
                <w:rFonts w:ascii="Arial" w:eastAsia="Times New Roman" w:hAnsi="Arial" w:cs="Arial"/>
                <w:color w:val="333333"/>
                <w:sz w:val="19"/>
                <w:szCs w:val="19"/>
              </w:rPr>
              <w:t>1,1</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187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r>
      <w:tr w:rsidR="0060382B" w:rsidRPr="0060382B" w:rsidTr="0060382B">
        <w:tc>
          <w:tcPr>
            <w:tcW w:w="226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before="31" w:after="31" w:line="297" w:lineRule="atLeast"/>
              <w:rPr>
                <w:rFonts w:ascii="Arial" w:eastAsia="Times New Roman" w:hAnsi="Arial" w:cs="Arial"/>
                <w:color w:val="333333"/>
                <w:sz w:val="19"/>
                <w:szCs w:val="19"/>
              </w:rPr>
            </w:pPr>
            <w:r w:rsidRPr="0060382B">
              <w:rPr>
                <w:rFonts w:ascii="Arial" w:eastAsia="Times New Roman" w:hAnsi="Arial" w:cs="Arial"/>
                <w:color w:val="333333"/>
                <w:sz w:val="19"/>
                <w:szCs w:val="19"/>
              </w:rPr>
              <w:t>не более 5 лет</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before="31" w:after="31" w:line="297" w:lineRule="atLeast"/>
              <w:jc w:val="center"/>
              <w:rPr>
                <w:rFonts w:ascii="Arial" w:eastAsia="Times New Roman" w:hAnsi="Arial" w:cs="Arial"/>
                <w:color w:val="333333"/>
                <w:sz w:val="19"/>
                <w:szCs w:val="19"/>
              </w:rPr>
            </w:pPr>
            <w:r w:rsidRPr="0060382B">
              <w:rPr>
                <w:rFonts w:ascii="Arial" w:eastAsia="Times New Roman" w:hAnsi="Arial" w:cs="Arial"/>
                <w:color w:val="333333"/>
                <w:sz w:val="19"/>
                <w:szCs w:val="19"/>
              </w:rPr>
              <w:t>2,0</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187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r>
      <w:tr w:rsidR="0060382B" w:rsidRPr="0060382B" w:rsidTr="0060382B">
        <w:tc>
          <w:tcPr>
            <w:tcW w:w="226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before="31" w:after="31" w:line="297" w:lineRule="atLeast"/>
              <w:rPr>
                <w:rFonts w:ascii="Arial" w:eastAsia="Times New Roman" w:hAnsi="Arial" w:cs="Arial"/>
                <w:color w:val="333333"/>
                <w:sz w:val="19"/>
                <w:szCs w:val="19"/>
              </w:rPr>
            </w:pPr>
            <w:r w:rsidRPr="0060382B">
              <w:rPr>
                <w:rFonts w:ascii="Arial" w:eastAsia="Times New Roman" w:hAnsi="Arial" w:cs="Arial"/>
                <w:color w:val="333333"/>
                <w:sz w:val="19"/>
                <w:szCs w:val="19"/>
              </w:rPr>
              <w:t>не более 10 лет</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202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before="31" w:after="31" w:line="297" w:lineRule="atLeast"/>
              <w:jc w:val="center"/>
              <w:rPr>
                <w:rFonts w:ascii="Arial" w:eastAsia="Times New Roman" w:hAnsi="Arial" w:cs="Arial"/>
                <w:color w:val="333333"/>
                <w:sz w:val="19"/>
                <w:szCs w:val="19"/>
              </w:rPr>
            </w:pPr>
            <w:r w:rsidRPr="0060382B">
              <w:rPr>
                <w:rFonts w:ascii="Arial" w:eastAsia="Times New Roman" w:hAnsi="Arial" w:cs="Arial"/>
                <w:color w:val="333333"/>
                <w:sz w:val="19"/>
                <w:szCs w:val="19"/>
              </w:rPr>
              <w:t>3,0</w:t>
            </w:r>
          </w:p>
        </w:tc>
        <w:tc>
          <w:tcPr>
            <w:tcW w:w="1875" w:type="dxa"/>
            <w:tcBorders>
              <w:bottom w:val="single" w:sz="6" w:space="0" w:color="D9DEE5"/>
            </w:tcBorders>
            <w:shd w:val="clear" w:color="auto" w:fill="FFFFFF"/>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r>
      <w:tr w:rsidR="0060382B" w:rsidRPr="0060382B" w:rsidTr="0060382B">
        <w:tc>
          <w:tcPr>
            <w:tcW w:w="2265" w:type="dxa"/>
            <w:tcBorders>
              <w:bottom w:val="single" w:sz="6" w:space="0" w:color="D9DEE5"/>
            </w:tcBorders>
            <w:shd w:val="clear" w:color="auto" w:fill="E6E9EE"/>
            <w:tcMar>
              <w:top w:w="157" w:type="dxa"/>
              <w:left w:w="31" w:type="dxa"/>
              <w:bottom w:w="157" w:type="dxa"/>
              <w:right w:w="0" w:type="dxa"/>
            </w:tcMar>
            <w:hideMark/>
          </w:tcPr>
          <w:p w:rsidR="0060382B" w:rsidRPr="0060382B" w:rsidRDefault="0060382B" w:rsidP="0060382B">
            <w:pPr>
              <w:spacing w:before="31" w:after="31" w:line="297" w:lineRule="atLeast"/>
              <w:rPr>
                <w:rFonts w:ascii="Arial" w:eastAsia="Times New Roman" w:hAnsi="Arial" w:cs="Arial"/>
                <w:color w:val="333333"/>
                <w:sz w:val="19"/>
                <w:szCs w:val="19"/>
              </w:rPr>
            </w:pPr>
            <w:r w:rsidRPr="0060382B">
              <w:rPr>
                <w:rFonts w:ascii="Arial" w:eastAsia="Times New Roman" w:hAnsi="Arial" w:cs="Arial"/>
                <w:color w:val="333333"/>
                <w:sz w:val="19"/>
                <w:szCs w:val="19"/>
              </w:rPr>
              <w:lastRenderedPageBreak/>
              <w:t>не более 20 лет</w:t>
            </w:r>
          </w:p>
        </w:tc>
        <w:tc>
          <w:tcPr>
            <w:tcW w:w="2025" w:type="dxa"/>
            <w:tcBorders>
              <w:bottom w:val="single" w:sz="6" w:space="0" w:color="D9DEE5"/>
            </w:tcBorders>
            <w:shd w:val="clear" w:color="auto" w:fill="E6E9EE"/>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2025" w:type="dxa"/>
            <w:tcBorders>
              <w:bottom w:val="single" w:sz="6" w:space="0" w:color="D9DEE5"/>
            </w:tcBorders>
            <w:shd w:val="clear" w:color="auto" w:fill="E6E9EE"/>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2025" w:type="dxa"/>
            <w:tcBorders>
              <w:bottom w:val="single" w:sz="6" w:space="0" w:color="D9DEE5"/>
            </w:tcBorders>
            <w:shd w:val="clear" w:color="auto" w:fill="E6E9EE"/>
            <w:tcMar>
              <w:top w:w="157" w:type="dxa"/>
              <w:left w:w="31" w:type="dxa"/>
              <w:bottom w:w="157" w:type="dxa"/>
              <w:right w:w="0" w:type="dxa"/>
            </w:tcMar>
            <w:hideMark/>
          </w:tcPr>
          <w:p w:rsidR="0060382B" w:rsidRPr="0060382B" w:rsidRDefault="0060382B" w:rsidP="0060382B">
            <w:pPr>
              <w:spacing w:after="0" w:line="344" w:lineRule="atLeast"/>
              <w:rPr>
                <w:rFonts w:ascii="Arial" w:eastAsia="Times New Roman" w:hAnsi="Arial" w:cs="Arial"/>
                <w:color w:val="000000"/>
                <w:sz w:val="19"/>
                <w:szCs w:val="19"/>
              </w:rPr>
            </w:pPr>
            <w:r w:rsidRPr="0060382B">
              <w:rPr>
                <w:rFonts w:ascii="Arial" w:eastAsia="Times New Roman" w:hAnsi="Arial" w:cs="Arial"/>
                <w:color w:val="000000"/>
                <w:sz w:val="19"/>
                <w:szCs w:val="19"/>
              </w:rPr>
              <w:t> </w:t>
            </w:r>
          </w:p>
        </w:tc>
        <w:tc>
          <w:tcPr>
            <w:tcW w:w="1875" w:type="dxa"/>
            <w:tcBorders>
              <w:bottom w:val="single" w:sz="6" w:space="0" w:color="D9DEE5"/>
            </w:tcBorders>
            <w:shd w:val="clear" w:color="auto" w:fill="E6E9EE"/>
            <w:tcMar>
              <w:top w:w="157" w:type="dxa"/>
              <w:left w:w="31" w:type="dxa"/>
              <w:bottom w:w="157" w:type="dxa"/>
              <w:right w:w="0" w:type="dxa"/>
            </w:tcMar>
            <w:hideMark/>
          </w:tcPr>
          <w:p w:rsidR="0060382B" w:rsidRPr="0060382B" w:rsidRDefault="0060382B" w:rsidP="0060382B">
            <w:pPr>
              <w:spacing w:before="31" w:after="31" w:line="297" w:lineRule="atLeast"/>
              <w:jc w:val="center"/>
              <w:rPr>
                <w:rFonts w:ascii="Arial" w:eastAsia="Times New Roman" w:hAnsi="Arial" w:cs="Arial"/>
                <w:color w:val="333333"/>
                <w:sz w:val="19"/>
                <w:szCs w:val="19"/>
              </w:rPr>
            </w:pPr>
            <w:r w:rsidRPr="0060382B">
              <w:rPr>
                <w:rFonts w:ascii="Arial" w:eastAsia="Times New Roman" w:hAnsi="Arial" w:cs="Arial"/>
                <w:color w:val="333333"/>
                <w:sz w:val="19"/>
                <w:szCs w:val="19"/>
              </w:rPr>
              <w:t>3,0</w:t>
            </w:r>
          </w:p>
        </w:tc>
      </w:tr>
    </w:tbl>
    <w:p w:rsidR="0060382B" w:rsidRPr="0060382B" w:rsidRDefault="0060382B" w:rsidP="0060382B">
      <w:pPr>
        <w:shd w:val="clear" w:color="auto" w:fill="FFFFFF"/>
        <w:spacing w:before="31" w:after="31" w:line="297" w:lineRule="atLeast"/>
        <w:rPr>
          <w:rFonts w:ascii="Arial" w:eastAsia="Times New Roman" w:hAnsi="Arial" w:cs="Arial"/>
          <w:color w:val="333333"/>
        </w:rPr>
      </w:pPr>
      <w:r w:rsidRPr="0060382B">
        <w:rPr>
          <w:rFonts w:ascii="Arial" w:eastAsia="Times New Roman" w:hAnsi="Arial" w:cs="Arial"/>
          <w:color w:val="333333"/>
        </w:rPr>
        <w:t> </w:t>
      </w:r>
    </w:p>
    <w:p w:rsidR="0060382B" w:rsidRPr="0060382B" w:rsidRDefault="0060382B" w:rsidP="0060382B">
      <w:pPr>
        <w:numPr>
          <w:ilvl w:val="0"/>
          <w:numId w:val="2"/>
        </w:numPr>
        <w:shd w:val="clear" w:color="auto" w:fill="FFFFFF"/>
        <w:spacing w:after="0" w:line="297" w:lineRule="atLeast"/>
        <w:ind w:left="626"/>
        <w:rPr>
          <w:rFonts w:ascii="Arial" w:eastAsia="Times New Roman" w:hAnsi="Arial" w:cs="Arial"/>
          <w:color w:val="5C5B5B"/>
        </w:rPr>
      </w:pPr>
      <w:r w:rsidRPr="0060382B">
        <w:rPr>
          <w:rFonts w:ascii="Arial" w:eastAsia="Times New Roman" w:hAnsi="Arial" w:cs="Arial"/>
          <w:color w:val="5C5B5B"/>
        </w:rPr>
        <w:t>При этом исчисление сроков, указанных в настоящем пункте, начинается с года выпуска соответствующего легкового автомобиля.</w:t>
      </w:r>
    </w:p>
    <w:p w:rsidR="0060382B" w:rsidRPr="0060382B" w:rsidRDefault="0060382B" w:rsidP="0060382B">
      <w:pPr>
        <w:numPr>
          <w:ilvl w:val="0"/>
          <w:numId w:val="2"/>
        </w:numPr>
        <w:shd w:val="clear" w:color="auto" w:fill="FFFFFF"/>
        <w:spacing w:after="0" w:line="297" w:lineRule="atLeast"/>
        <w:ind w:left="626"/>
        <w:rPr>
          <w:rFonts w:ascii="Arial" w:eastAsia="Times New Roman" w:hAnsi="Arial" w:cs="Arial"/>
          <w:color w:val="5C5B5B"/>
        </w:rPr>
      </w:pPr>
      <w:r w:rsidRPr="0060382B">
        <w:rPr>
          <w:rFonts w:ascii="Arial" w:eastAsia="Times New Roman" w:hAnsi="Arial" w:cs="Arial"/>
          <w:color w:val="5C5B5B"/>
        </w:rPr>
        <w:t>Перечень легковых автомобилей средней стоимостью от 3 миллионов рублей размещается ежегодно не позднее 1 марта на официальном сайте Минпромторга России в информационно-телекоммуникационной сети "Интернет".</w:t>
      </w:r>
    </w:p>
    <w:p w:rsidR="0060382B" w:rsidRPr="0060382B" w:rsidRDefault="0060382B" w:rsidP="0060382B">
      <w:pPr>
        <w:shd w:val="clear" w:color="auto" w:fill="FFFFFF"/>
        <w:spacing w:before="31" w:after="31" w:line="297" w:lineRule="atLeast"/>
        <w:rPr>
          <w:rFonts w:ascii="Arial" w:eastAsia="Times New Roman" w:hAnsi="Arial" w:cs="Arial"/>
          <w:color w:val="333333"/>
        </w:rPr>
      </w:pPr>
      <w:r w:rsidRPr="0060382B">
        <w:rPr>
          <w:rFonts w:ascii="Arial" w:eastAsia="Times New Roman" w:hAnsi="Arial" w:cs="Arial"/>
          <w:color w:val="333333"/>
        </w:rPr>
        <w:t> </w:t>
      </w:r>
    </w:p>
    <w:p w:rsidR="0060382B" w:rsidRPr="0060382B" w:rsidRDefault="001C57C6" w:rsidP="0060382B">
      <w:pPr>
        <w:shd w:val="clear" w:color="auto" w:fill="FFFFFF"/>
        <w:spacing w:before="31" w:after="31" w:line="297" w:lineRule="atLeast"/>
        <w:rPr>
          <w:rFonts w:ascii="Arial" w:eastAsia="Times New Roman" w:hAnsi="Arial" w:cs="Arial"/>
          <w:color w:val="333333"/>
        </w:rPr>
      </w:pPr>
      <w:hyperlink r:id="rId7" w:tgtFrame="_blank" w:history="1">
        <w:r w:rsidR="0060382B" w:rsidRPr="0060382B">
          <w:rPr>
            <w:rFonts w:ascii="Arial" w:eastAsia="Times New Roman" w:hAnsi="Arial" w:cs="Arial"/>
            <w:color w:val="040465"/>
            <w:u w:val="single"/>
          </w:rPr>
          <w:t>Сервис «Расчет транспортного налога»</w:t>
        </w:r>
      </w:hyperlink>
      <w:r w:rsidR="0060382B" w:rsidRPr="0060382B">
        <w:rPr>
          <w:rFonts w:ascii="Arial" w:eastAsia="Times New Roman" w:hAnsi="Arial" w:cs="Arial"/>
          <w:color w:val="333333"/>
        </w:rPr>
        <w:t> предоставляет пользователям возможность рассчитать сумму транспортного налога на любое транспортное средство, в том числе на то, которое планируется приобрести в будущем.</w:t>
      </w:r>
    </w:p>
    <w:p w:rsidR="0060382B" w:rsidRPr="0060382B" w:rsidRDefault="0060382B" w:rsidP="0060382B">
      <w:pPr>
        <w:shd w:val="clear" w:color="auto" w:fill="FFFFFF"/>
        <w:spacing w:before="31" w:after="31" w:line="297" w:lineRule="atLeast"/>
        <w:rPr>
          <w:rFonts w:ascii="Arial" w:eastAsia="Times New Roman" w:hAnsi="Arial" w:cs="Arial"/>
          <w:color w:val="333333"/>
        </w:rPr>
      </w:pPr>
      <w:r w:rsidRPr="0060382B">
        <w:rPr>
          <w:rFonts w:ascii="Arial" w:eastAsia="Times New Roman" w:hAnsi="Arial" w:cs="Arial"/>
          <w:color w:val="333333"/>
        </w:rPr>
        <w:t> </w:t>
      </w:r>
    </w:p>
    <w:p w:rsidR="00005E88" w:rsidRDefault="00005E88"/>
    <w:sectPr w:rsidR="00005E88" w:rsidSect="001C5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6A36"/>
    <w:multiLevelType w:val="multilevel"/>
    <w:tmpl w:val="BD1E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63B56"/>
    <w:multiLevelType w:val="multilevel"/>
    <w:tmpl w:val="B29C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60382B"/>
    <w:rsid w:val="00005E88"/>
    <w:rsid w:val="001C57C6"/>
    <w:rsid w:val="0060382B"/>
    <w:rsid w:val="00EB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3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382B"/>
  </w:style>
  <w:style w:type="character" w:styleId="a4">
    <w:name w:val="Hyperlink"/>
    <w:basedOn w:val="a0"/>
    <w:uiPriority w:val="99"/>
    <w:semiHidden/>
    <w:unhideWhenUsed/>
    <w:rsid w:val="0060382B"/>
    <w:rPr>
      <w:color w:val="0000FF"/>
      <w:u w:val="single"/>
    </w:rPr>
  </w:style>
</w:styles>
</file>

<file path=word/webSettings.xml><?xml version="1.0" encoding="utf-8"?>
<w:webSettings xmlns:r="http://schemas.openxmlformats.org/officeDocument/2006/relationships" xmlns:w="http://schemas.openxmlformats.org/wordprocessingml/2006/main">
  <w:divs>
    <w:div w:id="567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3.24.64.34:18648/tr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land.ru/Default.aspx?pageid=78976" TargetMode="External"/><Relationship Id="rId5" Type="http://schemas.openxmlformats.org/officeDocument/2006/relationships/hyperlink" Target="http://www.donland.ru/Default.aspx?pageid=1107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2014-02-28T08:06:00Z</dcterms:created>
  <dcterms:modified xsi:type="dcterms:W3CDTF">2002-01-06T08:49:00Z</dcterms:modified>
</cp:coreProperties>
</file>